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AAE" w:rsidRPr="00DC1AAE" w:rsidRDefault="00DC1AAE" w:rsidP="00DC1AA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Maestría en Investigación en Ciencias Biomédicas</w:t>
      </w:r>
    </w:p>
    <w:p w:rsidR="00DC1AAE" w:rsidRPr="00DC1AAE" w:rsidRDefault="00DC1AAE" w:rsidP="00DC1A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r w:rsidRPr="00DC1AAE">
        <w:rPr>
          <w:rFonts w:ascii="Arial" w:hAnsi="Arial" w:cs="Arial"/>
          <w:b/>
          <w:sz w:val="24"/>
          <w:szCs w:val="24"/>
        </w:rPr>
        <w:t>Proceso de selección</w:t>
      </w:r>
      <w:bookmarkEnd w:id="0"/>
      <w:r w:rsidRPr="00DC1AAE">
        <w:rPr>
          <w:rFonts w:ascii="Arial" w:hAnsi="Arial" w:cs="Arial"/>
          <w:b/>
          <w:sz w:val="24"/>
          <w:szCs w:val="24"/>
        </w:rPr>
        <w:t xml:space="preserve">: </w:t>
      </w:r>
    </w:p>
    <w:p w:rsidR="00DC1AAE" w:rsidRPr="002E1541" w:rsidRDefault="00DC1AAE" w:rsidP="00DC1AAE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2E1541">
        <w:rPr>
          <w:rFonts w:ascii="Arial" w:hAnsi="Arial" w:cs="Arial"/>
          <w:sz w:val="24"/>
          <w:szCs w:val="24"/>
        </w:rPr>
        <w:t>Un mes antes del comienzo de la edición correspondiente de la maestría se sacará la convocatoria a la misma y, de los aspirantes, el Comité Académico seleccionará un máximo de 2</w:t>
      </w:r>
      <w:r>
        <w:rPr>
          <w:rFonts w:ascii="Arial" w:hAnsi="Arial" w:cs="Arial"/>
          <w:sz w:val="24"/>
          <w:szCs w:val="24"/>
        </w:rPr>
        <w:t>5</w:t>
      </w:r>
      <w:r w:rsidRPr="002E1541">
        <w:rPr>
          <w:rFonts w:ascii="Arial" w:hAnsi="Arial" w:cs="Arial"/>
          <w:sz w:val="24"/>
          <w:szCs w:val="24"/>
        </w:rPr>
        <w:t xml:space="preserve"> maestrantes.</w:t>
      </w:r>
    </w:p>
    <w:p w:rsidR="00DC1AAE" w:rsidRPr="002E1541" w:rsidRDefault="00DC1AAE" w:rsidP="00DC1AAE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cyan"/>
        </w:rPr>
      </w:pPr>
    </w:p>
    <w:p w:rsidR="00DC1AAE" w:rsidRPr="002E1541" w:rsidRDefault="00DC1AAE" w:rsidP="00DC1A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1541">
        <w:rPr>
          <w:rFonts w:ascii="Arial" w:hAnsi="Arial" w:cs="Arial"/>
          <w:sz w:val="24"/>
          <w:szCs w:val="24"/>
        </w:rPr>
        <w:t>Los aspirantes que consideren poseer los conocimientos y habilidades correspondientes a cualquier curso, solicitan su convalidación al comité académico, que valorará si procede o no la convalidación o propondrá una evaluación de suficiencia. Dicha solicitud irá acompañada de los documentos que acreditan tal condición o mediante la evaluación establecida en el programa.</w:t>
      </w:r>
    </w:p>
    <w:p w:rsidR="00DC1AAE" w:rsidRPr="002E1541" w:rsidRDefault="00DC1AAE" w:rsidP="00DC1A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1541">
        <w:rPr>
          <w:rFonts w:ascii="Arial" w:hAnsi="Arial" w:cs="Arial"/>
          <w:sz w:val="24"/>
          <w:szCs w:val="24"/>
        </w:rPr>
        <w:t>La convalidación por el comité académico puede ser de un curso en particular o de todos. Esta convalidación se llevará a cabo mediante un análisis documental exhaustivo de la obra académica o profesional presentada por el aspirante por parte del Comité Académico, quien dictaminará si la solicitud de convalidación tiene lugar. Nunca se podrá convalidar la tesis y su defensa, de acuerdo a lo establecido en el programa.</w:t>
      </w:r>
    </w:p>
    <w:p w:rsidR="00DC1AAE" w:rsidRDefault="00DC1AAE"/>
    <w:sectPr w:rsidR="00DC1A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AE"/>
    <w:rsid w:val="00976434"/>
    <w:rsid w:val="00DC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9EE30B-4465-4831-AA4A-7E6F54B1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A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897</Characters>
  <Application>Microsoft Office Word</Application>
  <DocSecurity>0</DocSecurity>
  <Lines>7</Lines>
  <Paragraphs>2</Paragraphs>
  <ScaleCrop>false</ScaleCrop>
  <Company>HP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Urda</dc:creator>
  <cp:keywords/>
  <dc:description/>
  <cp:lastModifiedBy>Hector Urda</cp:lastModifiedBy>
  <cp:revision>1</cp:revision>
  <dcterms:created xsi:type="dcterms:W3CDTF">2023-01-25T22:30:00Z</dcterms:created>
  <dcterms:modified xsi:type="dcterms:W3CDTF">2023-01-25T22:33:00Z</dcterms:modified>
</cp:coreProperties>
</file>